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7E" w:rsidRDefault="002B0E7E" w:rsidP="00B817F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Az Országos Környezetvédelmi Tanács j</w:t>
      </w:r>
      <w:r w:rsidR="00834A48" w:rsidRPr="002B0E7E">
        <w:rPr>
          <w:rFonts w:ascii="Times New Roman" w:hAnsi="Times New Roman"/>
          <w:b/>
          <w:sz w:val="24"/>
          <w:szCs w:val="24"/>
        </w:rPr>
        <w:t>avaslat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834A48" w:rsidRPr="008471DC" w:rsidRDefault="00834A48" w:rsidP="00B817F0">
      <w:pPr>
        <w:jc w:val="center"/>
        <w:rPr>
          <w:i/>
        </w:rPr>
      </w:pPr>
      <w:r w:rsidRPr="002B0E7E">
        <w:rPr>
          <w:rFonts w:ascii="Times New Roman" w:hAnsi="Times New Roman"/>
          <w:b/>
          <w:sz w:val="24"/>
          <w:szCs w:val="24"/>
        </w:rPr>
        <w:t xml:space="preserve"> </w:t>
      </w:r>
      <w:r w:rsidR="008471DC" w:rsidRPr="008471DC">
        <w:rPr>
          <w:rFonts w:ascii="Times New Roman" w:hAnsi="Times New Roman"/>
          <w:b/>
          <w:i/>
          <w:sz w:val="24"/>
          <w:szCs w:val="24"/>
        </w:rPr>
        <w:t>a környezetvédelmi hatósági-igazgatási feladatokat ellátó szervezetrendszer állapotának vizsgálatára</w:t>
      </w:r>
    </w:p>
    <w:p w:rsidR="00834A48" w:rsidRDefault="00834A48">
      <w:pPr>
        <w:jc w:val="both"/>
        <w:rPr>
          <w:rFonts w:ascii="Times New Roman" w:hAnsi="Times New Roman"/>
          <w:b/>
          <w:sz w:val="24"/>
          <w:szCs w:val="24"/>
        </w:rPr>
      </w:pPr>
    </w:p>
    <w:p w:rsidR="00834A48" w:rsidRDefault="00834A48">
      <w:pPr>
        <w:jc w:val="both"/>
      </w:pPr>
      <w:r>
        <w:rPr>
          <w:rFonts w:ascii="Times New Roman" w:hAnsi="Times New Roman"/>
          <w:sz w:val="24"/>
          <w:szCs w:val="24"/>
        </w:rPr>
        <w:t>Az Országos Környezetvédelmi Tanács – a környezet védelmének általános szabályairól szóló 1995</w:t>
      </w:r>
      <w:r w:rsidR="00212510">
        <w:rPr>
          <w:rFonts w:ascii="Times New Roman" w:hAnsi="Times New Roman"/>
          <w:sz w:val="24"/>
          <w:szCs w:val="24"/>
        </w:rPr>
        <w:t>:</w:t>
      </w:r>
      <w:r w:rsidR="00883F14">
        <w:rPr>
          <w:rFonts w:ascii="Times New Roman" w:hAnsi="Times New Roman"/>
          <w:sz w:val="24"/>
          <w:szCs w:val="24"/>
        </w:rPr>
        <w:t>LIII.</w:t>
      </w:r>
      <w:r>
        <w:rPr>
          <w:rFonts w:ascii="Times New Roman" w:hAnsi="Times New Roman"/>
          <w:sz w:val="24"/>
          <w:szCs w:val="24"/>
        </w:rPr>
        <w:t xml:space="preserve"> törvény 45. § 2) bekezdés c) pontjában biztosított jogkörében eljárva –</w:t>
      </w:r>
      <w:r>
        <w:rPr>
          <w:rFonts w:ascii="Times New Roman" w:hAnsi="Times New Roman"/>
          <w:b/>
          <w:i/>
          <w:sz w:val="24"/>
          <w:szCs w:val="24"/>
        </w:rPr>
        <w:t>javaslatot tesz</w:t>
      </w:r>
      <w:r>
        <w:rPr>
          <w:rFonts w:ascii="Times New Roman" w:hAnsi="Times New Roman"/>
          <w:sz w:val="24"/>
          <w:szCs w:val="24"/>
        </w:rPr>
        <w:t xml:space="preserve"> a Kormánynak, hogy </w:t>
      </w:r>
      <w:r>
        <w:rPr>
          <w:rFonts w:ascii="Times New Roman" w:hAnsi="Times New Roman"/>
          <w:b/>
          <w:i/>
          <w:sz w:val="24"/>
          <w:szCs w:val="24"/>
        </w:rPr>
        <w:t>vizsgálja meg a környezetvédelmi hatósági</w:t>
      </w:r>
      <w:r w:rsidR="00574F20">
        <w:rPr>
          <w:rFonts w:ascii="Times New Roman" w:hAnsi="Times New Roman"/>
          <w:b/>
          <w:i/>
          <w:sz w:val="24"/>
          <w:szCs w:val="24"/>
        </w:rPr>
        <w:t>-igazgatási feladatokat ellátó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74F20">
        <w:rPr>
          <w:rFonts w:ascii="Times New Roman" w:hAnsi="Times New Roman"/>
          <w:b/>
          <w:i/>
          <w:sz w:val="24"/>
          <w:szCs w:val="24"/>
        </w:rPr>
        <w:t>szervezet</w:t>
      </w:r>
      <w:r>
        <w:rPr>
          <w:rFonts w:ascii="Times New Roman" w:hAnsi="Times New Roman"/>
          <w:b/>
          <w:i/>
          <w:sz w:val="24"/>
          <w:szCs w:val="24"/>
        </w:rPr>
        <w:t>rendszer állapotát, készítsen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arról értékelést, amely lehetővé teszi a </w:t>
      </w:r>
      <w:r w:rsidR="005A4023">
        <w:rPr>
          <w:rFonts w:ascii="Times New Roman" w:hAnsi="Times New Roman"/>
          <w:b/>
          <w:i/>
          <w:sz w:val="24"/>
          <w:szCs w:val="24"/>
        </w:rPr>
        <w:t>szakpolitikai célkitűzések szempontjából hatékonyabb szervezetre irányuló</w:t>
      </w:r>
      <w:r>
        <w:rPr>
          <w:rFonts w:ascii="Times New Roman" w:hAnsi="Times New Roman"/>
          <w:b/>
          <w:i/>
          <w:sz w:val="24"/>
          <w:szCs w:val="24"/>
        </w:rPr>
        <w:t xml:space="preserve"> intézkedések megtervezését.</w:t>
      </w:r>
    </w:p>
    <w:p w:rsidR="00E97F79" w:rsidRPr="00872EFA" w:rsidRDefault="00834A48" w:rsidP="00872E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Országos Környezetvédelmi Tanács javasolja, hogy az értékelés terjedjen ki a</w:t>
      </w:r>
      <w:r w:rsidR="005A4023">
        <w:rPr>
          <w:rFonts w:ascii="Times New Roman" w:hAnsi="Times New Roman"/>
          <w:sz w:val="24"/>
          <w:szCs w:val="24"/>
        </w:rPr>
        <w:t>z országos, a területi és a járási környezetvédelmi igazgatási szervekre egyaránt (azaz a járási, a megyeszékhely szerinti járási hivatalok és a Pest Megyei Kormányhivatal</w:t>
      </w:r>
      <w:r>
        <w:rPr>
          <w:rFonts w:ascii="Times New Roman" w:hAnsi="Times New Roman"/>
          <w:sz w:val="24"/>
          <w:szCs w:val="24"/>
        </w:rPr>
        <w:t xml:space="preserve"> </w:t>
      </w:r>
      <w:r w:rsidR="005A4023">
        <w:rPr>
          <w:rFonts w:ascii="Times New Roman" w:hAnsi="Times New Roman"/>
          <w:sz w:val="24"/>
          <w:szCs w:val="24"/>
        </w:rPr>
        <w:t>megfelelő szervezeti egységeire)</w:t>
      </w:r>
      <w:r>
        <w:rPr>
          <w:rFonts w:ascii="Times New Roman" w:hAnsi="Times New Roman"/>
          <w:sz w:val="24"/>
          <w:szCs w:val="24"/>
        </w:rPr>
        <w:t>. Javasolja az érintett minisztériumok és a szakmai irányításuk alá tartozó szervek, illetőleg a kormányhivatalok bevonását</w:t>
      </w:r>
      <w:r w:rsidR="00574F20">
        <w:rPr>
          <w:rFonts w:ascii="Times New Roman" w:hAnsi="Times New Roman"/>
          <w:sz w:val="24"/>
          <w:szCs w:val="24"/>
        </w:rPr>
        <w:t xml:space="preserve"> az értékelésbe</w:t>
      </w:r>
      <w:r>
        <w:rPr>
          <w:rFonts w:ascii="Times New Roman" w:hAnsi="Times New Roman"/>
          <w:sz w:val="24"/>
          <w:szCs w:val="24"/>
        </w:rPr>
        <w:t>, különös tekintettel arra, hogy a környezet védelmét szolgáló anyagi jogi jogszabályok végrehajtása</w:t>
      </w:r>
      <w:r w:rsidR="007B5417">
        <w:rPr>
          <w:rFonts w:ascii="Times New Roman" w:hAnsi="Times New Roman"/>
          <w:sz w:val="24"/>
          <w:szCs w:val="24"/>
        </w:rPr>
        <w:t xml:space="preserve"> és </w:t>
      </w:r>
      <w:r w:rsidR="00574F20">
        <w:rPr>
          <w:rFonts w:ascii="Times New Roman" w:hAnsi="Times New Roman"/>
          <w:sz w:val="24"/>
          <w:szCs w:val="24"/>
        </w:rPr>
        <w:t xml:space="preserve">az </w:t>
      </w:r>
      <w:r w:rsidR="007B5417">
        <w:rPr>
          <w:rFonts w:ascii="Times New Roman" w:hAnsi="Times New Roman"/>
          <w:sz w:val="24"/>
          <w:szCs w:val="24"/>
        </w:rPr>
        <w:t>abban közreműködő hatóságok felügyelete</w:t>
      </w:r>
      <w:r>
        <w:rPr>
          <w:rFonts w:ascii="Times New Roman" w:hAnsi="Times New Roman"/>
          <w:sz w:val="24"/>
          <w:szCs w:val="24"/>
        </w:rPr>
        <w:t xml:space="preserve"> nem egyetlen tárca felelősségi körébe tartozik (</w:t>
      </w:r>
      <w:r w:rsidR="007B5417">
        <w:rPr>
          <w:rFonts w:ascii="Times New Roman" w:hAnsi="Times New Roman"/>
          <w:sz w:val="24"/>
          <w:szCs w:val="24"/>
        </w:rPr>
        <w:t xml:space="preserve">ld. különösen: </w:t>
      </w:r>
      <w:r>
        <w:rPr>
          <w:rFonts w:ascii="Times New Roman" w:hAnsi="Times New Roman"/>
          <w:sz w:val="24"/>
          <w:szCs w:val="24"/>
        </w:rPr>
        <w:t>FM, NFM, BM</w:t>
      </w:r>
      <w:r w:rsidR="007B5417">
        <w:rPr>
          <w:rFonts w:ascii="Times New Roman" w:hAnsi="Times New Roman"/>
          <w:sz w:val="24"/>
          <w:szCs w:val="24"/>
        </w:rPr>
        <w:t>, EMMI, NGM, HM, Miniszterelnökség</w:t>
      </w:r>
      <w:r>
        <w:rPr>
          <w:rFonts w:ascii="Times New Roman" w:hAnsi="Times New Roman"/>
          <w:sz w:val="24"/>
          <w:szCs w:val="24"/>
        </w:rPr>
        <w:t>). Ugyanebből az okból indokoltnak látjuk, hogy a helyzetfelmérés ne csak a szorosan vett környezetvédelmi és természetvédelmi hatósági jogköröket gyakorló</w:t>
      </w:r>
      <w:r w:rsidR="00574F20">
        <w:rPr>
          <w:rFonts w:ascii="Times New Roman" w:hAnsi="Times New Roman"/>
          <w:sz w:val="24"/>
          <w:szCs w:val="24"/>
        </w:rPr>
        <w:t>, kormányhivatali</w:t>
      </w:r>
      <w:r>
        <w:rPr>
          <w:rFonts w:ascii="Times New Roman" w:hAnsi="Times New Roman"/>
          <w:sz w:val="24"/>
          <w:szCs w:val="24"/>
        </w:rPr>
        <w:t xml:space="preserve"> szervezeti egységek munkájára irányuljon, hanem a szükséges mértékig vegye figyelembe a sok tekintetben hasonló változásokat megélő, kapcsolódó (pl. erdészeti) ágazatokat is</w:t>
      </w:r>
      <w:r w:rsidR="007B5417">
        <w:rPr>
          <w:rFonts w:ascii="Times New Roman" w:hAnsi="Times New Roman"/>
          <w:sz w:val="24"/>
          <w:szCs w:val="24"/>
        </w:rPr>
        <w:t xml:space="preserve"> (amelyekben ugyanakkor nem minden esetben a megyehatárokhoz igazodik az illetékesség továbbra sem, ami exponálja az egyébként is felmerülő kérdést, hogy vajon a környezetvédelmi ágazatban ez megfelelőnek bizonyult-e)</w:t>
      </w:r>
      <w:r>
        <w:rPr>
          <w:rFonts w:ascii="Times New Roman" w:hAnsi="Times New Roman"/>
          <w:sz w:val="24"/>
          <w:szCs w:val="24"/>
        </w:rPr>
        <w:t xml:space="preserve">. Az értékelés lehetőség szerint terjedjen ki arra, hogy a feltárt problémák megoldására milyen – irányítási, belső szervezési, költségvetési, képzési, infrastruktúra-fejlesztési, informatikai, stb. – eszközök állnak rendelkezésre, illetőleg hogy a megváltozott szervezeti struktúrához megfelelő, a környezet- illetve természetvédelmi szempontok érvényesülését biztosító anyagi és eljárásjogi szabályozási környezet kapcsolódik-e, vagyis, hogy további jogalkotási intézkedések szükségesek-e a </w:t>
      </w:r>
      <w:r w:rsidR="007F12A6">
        <w:rPr>
          <w:rFonts w:ascii="Times New Roman" w:hAnsi="Times New Roman"/>
          <w:sz w:val="24"/>
          <w:szCs w:val="24"/>
        </w:rPr>
        <w:t xml:space="preserve">szakpolitikai értelemben vett </w:t>
      </w:r>
      <w:r>
        <w:rPr>
          <w:rFonts w:ascii="Times New Roman" w:hAnsi="Times New Roman"/>
          <w:sz w:val="24"/>
          <w:szCs w:val="24"/>
        </w:rPr>
        <w:t>hatékonyság javítása érdekében.</w:t>
      </w:r>
      <w:r>
        <w:rPr>
          <w:rStyle w:val="Lbjegyzet-karakterek"/>
          <w:rFonts w:ascii="Times New Roman" w:hAnsi="Times New Roman"/>
          <w:sz w:val="24"/>
          <w:szCs w:val="24"/>
        </w:rPr>
        <w:footnoteReference w:id="1"/>
      </w:r>
    </w:p>
    <w:p w:rsidR="00872EFA" w:rsidRDefault="00872EFA" w:rsidP="00B817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2EFA" w:rsidRPr="00872EFA" w:rsidRDefault="00A70F13" w:rsidP="00872EFA">
      <w:pPr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Javasolt vizsgálati szempontok</w:t>
      </w:r>
    </w:p>
    <w:p w:rsidR="00834A48" w:rsidRDefault="00834A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Tanács </w:t>
      </w:r>
      <w:r w:rsidR="0062402C">
        <w:rPr>
          <w:rFonts w:ascii="Times New Roman" w:hAnsi="Times New Roman"/>
          <w:sz w:val="24"/>
          <w:szCs w:val="24"/>
        </w:rPr>
        <w:t>t</w:t>
      </w:r>
      <w:r w:rsidR="00A70F13">
        <w:rPr>
          <w:rFonts w:ascii="Times New Roman" w:hAnsi="Times New Roman"/>
          <w:sz w:val="24"/>
          <w:szCs w:val="24"/>
        </w:rPr>
        <w:t>ájékozódott afelől, hogy bizonyos szempontok (pl. az állami tisztviselők létszámának alakulása, a bértömeg csökkentésével elért költségvetési megtakarítások) alapján már megfogalmazódtak értékelések kormányzati szereplők részéről. T</w:t>
      </w:r>
      <w:r>
        <w:rPr>
          <w:rFonts w:ascii="Times New Roman" w:hAnsi="Times New Roman"/>
          <w:sz w:val="24"/>
          <w:szCs w:val="24"/>
        </w:rPr>
        <w:t>udomásul veszi és üdvözli, hogy számos intézkedés kedvezően érinti az ágazatot (pl. az informatikai fejlesztéseket, adatbázisok összekapcsolását</w:t>
      </w:r>
      <w:r w:rsidR="002077AC">
        <w:rPr>
          <w:rFonts w:ascii="Times New Roman" w:hAnsi="Times New Roman"/>
          <w:sz w:val="24"/>
          <w:szCs w:val="24"/>
        </w:rPr>
        <w:t>, bizonyos ügyekben az ügyfelekhez közelebb eső hatósági ügyintézés előnyeit</w:t>
      </w:r>
      <w:r>
        <w:rPr>
          <w:rFonts w:ascii="Times New Roman" w:hAnsi="Times New Roman"/>
          <w:sz w:val="24"/>
          <w:szCs w:val="24"/>
        </w:rPr>
        <w:t xml:space="preserve"> illet</w:t>
      </w:r>
      <w:r w:rsidR="00A70F13">
        <w:rPr>
          <w:rFonts w:ascii="Times New Roman" w:hAnsi="Times New Roman"/>
          <w:sz w:val="24"/>
          <w:szCs w:val="24"/>
        </w:rPr>
        <w:t>ően</w:t>
      </w:r>
      <w:r>
        <w:rPr>
          <w:rFonts w:ascii="Times New Roman" w:hAnsi="Times New Roman"/>
          <w:sz w:val="24"/>
          <w:szCs w:val="24"/>
        </w:rPr>
        <w:t xml:space="preserve">), ugyanakkor a korábban megfogalmazott aggályait </w:t>
      </w:r>
      <w:r w:rsidR="00A70F13">
        <w:rPr>
          <w:rFonts w:ascii="Times New Roman" w:hAnsi="Times New Roman"/>
          <w:sz w:val="24"/>
          <w:szCs w:val="24"/>
        </w:rPr>
        <w:t>ezek nem oszlatják el teljes mértékben</w:t>
      </w:r>
      <w:r w:rsidR="00212510">
        <w:rPr>
          <w:rFonts w:ascii="Times New Roman" w:hAnsi="Times New Roman"/>
          <w:sz w:val="24"/>
          <w:szCs w:val="24"/>
        </w:rPr>
        <w:t>.</w:t>
      </w:r>
      <w:r w:rsidR="00654F79">
        <w:rPr>
          <w:rFonts w:ascii="Times New Roman" w:hAnsi="Times New Roman"/>
          <w:sz w:val="24"/>
          <w:szCs w:val="24"/>
        </w:rPr>
        <w:t xml:space="preserve"> A Tanács további szempontokat állapít meg, amelyeknek az alkalmazását javasolja, s kéri azoknak olyan szempontokkal való kiegészítését, amelyeket a Miniszterelnökség és az ágazati irányítást végző minisztériumok indokoltnak és megfelelőnek látnak.</w:t>
      </w:r>
    </w:p>
    <w:p w:rsidR="00654F79" w:rsidRDefault="00654F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Javasoljuk annak megvizsgálását, hogy a szervezeti átalakítások révén, azt követően, a korábbiakhoz képest hogyan változott:</w:t>
      </w:r>
    </w:p>
    <w:p w:rsidR="005B0D80" w:rsidRPr="00872EFA" w:rsidRDefault="00654F79" w:rsidP="00872EFA">
      <w:pPr>
        <w:pStyle w:val="Nincstrkz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EFA">
        <w:rPr>
          <w:rFonts w:ascii="Times New Roman" w:hAnsi="Times New Roman"/>
          <w:sz w:val="24"/>
          <w:szCs w:val="24"/>
        </w:rPr>
        <w:t xml:space="preserve">az érintett </w:t>
      </w:r>
      <w:r w:rsidR="005B0D80" w:rsidRPr="00872EFA">
        <w:rPr>
          <w:rFonts w:ascii="Times New Roman" w:hAnsi="Times New Roman"/>
          <w:sz w:val="24"/>
          <w:szCs w:val="24"/>
        </w:rPr>
        <w:t xml:space="preserve">(az ügyek eldöntésében közreműködő) </w:t>
      </w:r>
      <w:r w:rsidRPr="00872EFA">
        <w:rPr>
          <w:rFonts w:ascii="Times New Roman" w:hAnsi="Times New Roman"/>
          <w:sz w:val="24"/>
          <w:szCs w:val="24"/>
        </w:rPr>
        <w:t xml:space="preserve">állami tisztviselők korfája, </w:t>
      </w:r>
    </w:p>
    <w:p w:rsidR="005B0D80" w:rsidRPr="00872EFA" w:rsidRDefault="005B0D80" w:rsidP="00872EFA">
      <w:pPr>
        <w:pStyle w:val="Nincstrkz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EFA">
        <w:rPr>
          <w:rFonts w:ascii="Times New Roman" w:hAnsi="Times New Roman"/>
          <w:sz w:val="24"/>
          <w:szCs w:val="24"/>
        </w:rPr>
        <w:t xml:space="preserve">az érintett állami tisztviselők </w:t>
      </w:r>
      <w:r w:rsidR="00654F79" w:rsidRPr="00872EFA">
        <w:rPr>
          <w:rFonts w:ascii="Times New Roman" w:hAnsi="Times New Roman"/>
          <w:sz w:val="24"/>
          <w:szCs w:val="24"/>
        </w:rPr>
        <w:t>szakmai tapasztalata (a környezetvédelmi igazgatásban</w:t>
      </w:r>
      <w:r w:rsidRPr="00872EFA">
        <w:rPr>
          <w:rFonts w:ascii="Times New Roman" w:hAnsi="Times New Roman"/>
          <w:sz w:val="24"/>
          <w:szCs w:val="24"/>
        </w:rPr>
        <w:t>, átlagosan</w:t>
      </w:r>
      <w:r w:rsidR="00654F79" w:rsidRPr="00872EFA">
        <w:rPr>
          <w:rFonts w:ascii="Times New Roman" w:hAnsi="Times New Roman"/>
          <w:sz w:val="24"/>
          <w:szCs w:val="24"/>
        </w:rPr>
        <w:t xml:space="preserve"> eltöltött idő),</w:t>
      </w:r>
      <w:r w:rsidRPr="00872EFA">
        <w:rPr>
          <w:rFonts w:ascii="Times New Roman" w:hAnsi="Times New Roman"/>
          <w:sz w:val="24"/>
          <w:szCs w:val="24"/>
        </w:rPr>
        <w:t xml:space="preserve"> </w:t>
      </w:r>
    </w:p>
    <w:p w:rsidR="005B0D80" w:rsidRPr="00872EFA" w:rsidRDefault="005B0D80" w:rsidP="00872EFA">
      <w:pPr>
        <w:pStyle w:val="Nincstrkz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EFA">
        <w:rPr>
          <w:rFonts w:ascii="Times New Roman" w:hAnsi="Times New Roman"/>
          <w:sz w:val="24"/>
          <w:szCs w:val="24"/>
        </w:rPr>
        <w:t xml:space="preserve">az érintett állami tisztviselők </w:t>
      </w:r>
      <w:r w:rsidR="00654F79" w:rsidRPr="00872EFA">
        <w:rPr>
          <w:rFonts w:ascii="Times New Roman" w:hAnsi="Times New Roman"/>
          <w:sz w:val="24"/>
          <w:szCs w:val="24"/>
        </w:rPr>
        <w:t xml:space="preserve">szakirányú végzettsége, </w:t>
      </w:r>
    </w:p>
    <w:p w:rsidR="005B0D80" w:rsidRPr="00872EFA" w:rsidRDefault="005B0D80" w:rsidP="00872EFA">
      <w:pPr>
        <w:pStyle w:val="Nincstrkz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EFA">
        <w:rPr>
          <w:rFonts w:ascii="Times New Roman" w:hAnsi="Times New Roman"/>
          <w:sz w:val="24"/>
          <w:szCs w:val="24"/>
        </w:rPr>
        <w:t xml:space="preserve">az érintett állami tisztviselők által </w:t>
      </w:r>
      <w:r w:rsidR="00654F79" w:rsidRPr="00872EFA">
        <w:rPr>
          <w:rFonts w:ascii="Times New Roman" w:hAnsi="Times New Roman"/>
          <w:sz w:val="24"/>
          <w:szCs w:val="24"/>
        </w:rPr>
        <w:t xml:space="preserve">az adott szervnél </w:t>
      </w:r>
      <w:r w:rsidRPr="00872EFA">
        <w:rPr>
          <w:rFonts w:ascii="Times New Roman" w:hAnsi="Times New Roman"/>
          <w:sz w:val="24"/>
          <w:szCs w:val="24"/>
        </w:rPr>
        <w:t xml:space="preserve">illetve jogelődjénél </w:t>
      </w:r>
      <w:r w:rsidR="00654F79" w:rsidRPr="00872EFA">
        <w:rPr>
          <w:rFonts w:ascii="Times New Roman" w:hAnsi="Times New Roman"/>
          <w:sz w:val="24"/>
          <w:szCs w:val="24"/>
        </w:rPr>
        <w:t>eltöltött idő,</w:t>
      </w:r>
    </w:p>
    <w:p w:rsidR="005B0D80" w:rsidRPr="00872EFA" w:rsidRDefault="005B0D80" w:rsidP="00872EFA">
      <w:pPr>
        <w:pStyle w:val="Nincstrkz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EFA">
        <w:rPr>
          <w:rFonts w:ascii="Times New Roman" w:hAnsi="Times New Roman"/>
          <w:sz w:val="24"/>
          <w:szCs w:val="24"/>
        </w:rPr>
        <w:t xml:space="preserve">az érintett állami tisztviselők </w:t>
      </w:r>
      <w:r w:rsidR="00654F79" w:rsidRPr="00872EFA">
        <w:rPr>
          <w:rFonts w:ascii="Times New Roman" w:hAnsi="Times New Roman"/>
          <w:sz w:val="24"/>
          <w:szCs w:val="24"/>
        </w:rPr>
        <w:t xml:space="preserve">helyismerete, </w:t>
      </w:r>
    </w:p>
    <w:p w:rsidR="005B0D80" w:rsidRPr="00872EFA" w:rsidRDefault="005B0D80" w:rsidP="00872EFA">
      <w:pPr>
        <w:pStyle w:val="Nincstrkz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EFA">
        <w:rPr>
          <w:rFonts w:ascii="Times New Roman" w:hAnsi="Times New Roman"/>
          <w:sz w:val="24"/>
          <w:szCs w:val="24"/>
        </w:rPr>
        <w:t xml:space="preserve">az érintett állami tisztviselők </w:t>
      </w:r>
      <w:r w:rsidR="00654F79" w:rsidRPr="00872EFA">
        <w:rPr>
          <w:rFonts w:ascii="Times New Roman" w:hAnsi="Times New Roman"/>
          <w:sz w:val="24"/>
          <w:szCs w:val="24"/>
        </w:rPr>
        <w:t xml:space="preserve">illetménye, </w:t>
      </w:r>
    </w:p>
    <w:p w:rsidR="005B0D80" w:rsidRPr="00872EFA" w:rsidRDefault="005B0D80" w:rsidP="00872EFA">
      <w:pPr>
        <w:pStyle w:val="Nincstrkz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EFA">
        <w:rPr>
          <w:rFonts w:ascii="Times New Roman" w:hAnsi="Times New Roman"/>
          <w:sz w:val="24"/>
          <w:szCs w:val="24"/>
        </w:rPr>
        <w:t>az ügyintézésben az ügyfelekhez való közelség,</w:t>
      </w:r>
    </w:p>
    <w:p w:rsidR="005B0D80" w:rsidRPr="00872EFA" w:rsidRDefault="00654F79" w:rsidP="00872EFA">
      <w:pPr>
        <w:pStyle w:val="Nincstrkz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EFA">
        <w:rPr>
          <w:rFonts w:ascii="Times New Roman" w:hAnsi="Times New Roman"/>
          <w:sz w:val="24"/>
          <w:szCs w:val="24"/>
        </w:rPr>
        <w:t>a</w:t>
      </w:r>
      <w:r w:rsidR="005B0D80" w:rsidRPr="00872EFA">
        <w:rPr>
          <w:rFonts w:ascii="Times New Roman" w:hAnsi="Times New Roman"/>
          <w:sz w:val="24"/>
          <w:szCs w:val="24"/>
        </w:rPr>
        <w:t>z ügyfelekkel,</w:t>
      </w:r>
      <w:r w:rsidRPr="00872EFA">
        <w:rPr>
          <w:rFonts w:ascii="Times New Roman" w:hAnsi="Times New Roman"/>
          <w:sz w:val="24"/>
          <w:szCs w:val="24"/>
        </w:rPr>
        <w:t xml:space="preserve"> civil szervezetekkel való</w:t>
      </w:r>
      <w:r w:rsidR="005B0D80" w:rsidRPr="00872EFA">
        <w:rPr>
          <w:rFonts w:ascii="Times New Roman" w:hAnsi="Times New Roman"/>
          <w:sz w:val="24"/>
          <w:szCs w:val="24"/>
        </w:rPr>
        <w:t xml:space="preserve"> </w:t>
      </w:r>
      <w:r w:rsidRPr="00872EFA">
        <w:rPr>
          <w:rFonts w:ascii="Times New Roman" w:hAnsi="Times New Roman"/>
          <w:sz w:val="24"/>
          <w:szCs w:val="24"/>
        </w:rPr>
        <w:t>kapcsolat</w:t>
      </w:r>
      <w:r w:rsidR="005B0D80" w:rsidRPr="00872EFA">
        <w:rPr>
          <w:rFonts w:ascii="Times New Roman" w:hAnsi="Times New Roman"/>
          <w:sz w:val="24"/>
          <w:szCs w:val="24"/>
        </w:rPr>
        <w:t xml:space="preserve"> tartalma és formája (különösen a 4/2010 KJE jogegységi döntés alkalmazhatósága)</w:t>
      </w:r>
      <w:r w:rsidRPr="00872EFA">
        <w:rPr>
          <w:rFonts w:ascii="Times New Roman" w:hAnsi="Times New Roman"/>
          <w:sz w:val="24"/>
          <w:szCs w:val="24"/>
        </w:rPr>
        <w:t xml:space="preserve">, </w:t>
      </w:r>
    </w:p>
    <w:p w:rsidR="005B0D80" w:rsidRPr="00872EFA" w:rsidRDefault="00E97F79" w:rsidP="00872EFA">
      <w:pPr>
        <w:pStyle w:val="Nincstrkz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EFA">
        <w:rPr>
          <w:rFonts w:ascii="Times New Roman" w:hAnsi="Times New Roman"/>
          <w:sz w:val="24"/>
          <w:szCs w:val="24"/>
        </w:rPr>
        <w:t xml:space="preserve">a hatósági munka szakmai színvonala (különösen </w:t>
      </w:r>
      <w:r w:rsidR="00654F79" w:rsidRPr="00872EFA">
        <w:rPr>
          <w:rFonts w:ascii="Times New Roman" w:hAnsi="Times New Roman"/>
          <w:sz w:val="24"/>
          <w:szCs w:val="24"/>
        </w:rPr>
        <w:t>a szennyezések/veszélyeztetések felderítésének</w:t>
      </w:r>
      <w:r w:rsidR="005B0D80" w:rsidRPr="00872EFA">
        <w:rPr>
          <w:rFonts w:ascii="Times New Roman" w:hAnsi="Times New Roman"/>
          <w:sz w:val="24"/>
          <w:szCs w:val="24"/>
        </w:rPr>
        <w:t xml:space="preserve"> </w:t>
      </w:r>
      <w:r w:rsidR="00654F79" w:rsidRPr="00872EFA">
        <w:rPr>
          <w:rFonts w:ascii="Times New Roman" w:hAnsi="Times New Roman"/>
          <w:sz w:val="24"/>
          <w:szCs w:val="24"/>
        </w:rPr>
        <w:t xml:space="preserve">eredményessége, </w:t>
      </w:r>
      <w:r w:rsidRPr="00872EFA">
        <w:rPr>
          <w:rFonts w:ascii="Times New Roman" w:hAnsi="Times New Roman"/>
          <w:sz w:val="24"/>
          <w:szCs w:val="24"/>
        </w:rPr>
        <w:t>a környezeti kérdések komplex kezelése)</w:t>
      </w:r>
    </w:p>
    <w:p w:rsidR="005B0D80" w:rsidRPr="00872EFA" w:rsidRDefault="00654F79" w:rsidP="00872EFA">
      <w:pPr>
        <w:pStyle w:val="Nincstrkz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EFA">
        <w:rPr>
          <w:rFonts w:ascii="Times New Roman" w:hAnsi="Times New Roman"/>
          <w:sz w:val="24"/>
          <w:szCs w:val="24"/>
        </w:rPr>
        <w:t>a hatásköri összeütközések előfordulása</w:t>
      </w:r>
      <w:r w:rsidR="005B0D80" w:rsidRPr="00872EFA">
        <w:rPr>
          <w:rFonts w:ascii="Times New Roman" w:hAnsi="Times New Roman"/>
          <w:sz w:val="24"/>
          <w:szCs w:val="24"/>
        </w:rPr>
        <w:t xml:space="preserve"> (a Kormányhivatalon belül is)</w:t>
      </w:r>
      <w:r w:rsidRPr="00872EFA">
        <w:rPr>
          <w:rFonts w:ascii="Times New Roman" w:hAnsi="Times New Roman"/>
          <w:sz w:val="24"/>
          <w:szCs w:val="24"/>
        </w:rPr>
        <w:t xml:space="preserve">, </w:t>
      </w:r>
    </w:p>
    <w:p w:rsidR="005B0D80" w:rsidRPr="00872EFA" w:rsidRDefault="00654F79" w:rsidP="00872EFA">
      <w:pPr>
        <w:pStyle w:val="Nincstrkz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EFA">
        <w:rPr>
          <w:rFonts w:ascii="Times New Roman" w:hAnsi="Times New Roman"/>
          <w:sz w:val="24"/>
          <w:szCs w:val="24"/>
        </w:rPr>
        <w:t>egységesebb-e</w:t>
      </w:r>
      <w:r w:rsidR="005B0D80" w:rsidRPr="00872EFA">
        <w:rPr>
          <w:rFonts w:ascii="Times New Roman" w:hAnsi="Times New Roman"/>
          <w:sz w:val="24"/>
          <w:szCs w:val="24"/>
        </w:rPr>
        <w:t xml:space="preserve"> </w:t>
      </w:r>
      <w:r w:rsidRPr="00872EFA">
        <w:rPr>
          <w:rFonts w:ascii="Times New Roman" w:hAnsi="Times New Roman"/>
          <w:sz w:val="24"/>
          <w:szCs w:val="24"/>
        </w:rPr>
        <w:t xml:space="preserve">joggyakorlat, </w:t>
      </w:r>
    </w:p>
    <w:p w:rsidR="005B0D80" w:rsidRPr="00872EFA" w:rsidRDefault="00654F79" w:rsidP="00872EFA">
      <w:pPr>
        <w:pStyle w:val="Nincstrkz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EFA">
        <w:rPr>
          <w:rFonts w:ascii="Times New Roman" w:hAnsi="Times New Roman"/>
          <w:sz w:val="24"/>
          <w:szCs w:val="24"/>
        </w:rPr>
        <w:t>a szakhatósági közreműködést</w:t>
      </w:r>
      <w:r w:rsidR="005B0D80" w:rsidRPr="00872EFA">
        <w:rPr>
          <w:rFonts w:ascii="Times New Roman" w:hAnsi="Times New Roman"/>
          <w:sz w:val="24"/>
          <w:szCs w:val="24"/>
        </w:rPr>
        <w:t xml:space="preserve"> </w:t>
      </w:r>
      <w:r w:rsidRPr="00872EFA">
        <w:rPr>
          <w:rFonts w:ascii="Times New Roman" w:hAnsi="Times New Roman"/>
          <w:sz w:val="24"/>
          <w:szCs w:val="24"/>
        </w:rPr>
        <w:t xml:space="preserve">felváltó jogintézmények szerepe, </w:t>
      </w:r>
    </w:p>
    <w:p w:rsidR="005B0D80" w:rsidRPr="00872EFA" w:rsidRDefault="00654F79" w:rsidP="00872EFA">
      <w:pPr>
        <w:pStyle w:val="Nincstrkz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EFA">
        <w:rPr>
          <w:rFonts w:ascii="Times New Roman" w:hAnsi="Times New Roman"/>
          <w:sz w:val="24"/>
          <w:szCs w:val="24"/>
        </w:rPr>
        <w:t>a környezetvédelmi hatósági</w:t>
      </w:r>
      <w:r w:rsidR="005B0D80" w:rsidRPr="00872EFA">
        <w:rPr>
          <w:rFonts w:ascii="Times New Roman" w:hAnsi="Times New Roman"/>
          <w:sz w:val="24"/>
          <w:szCs w:val="24"/>
        </w:rPr>
        <w:t xml:space="preserve"> </w:t>
      </w:r>
      <w:r w:rsidRPr="00872EFA">
        <w:rPr>
          <w:rFonts w:ascii="Times New Roman" w:hAnsi="Times New Roman"/>
          <w:sz w:val="24"/>
          <w:szCs w:val="24"/>
        </w:rPr>
        <w:t xml:space="preserve">ügyek nyilvánossága, </w:t>
      </w:r>
    </w:p>
    <w:p w:rsidR="005B0D80" w:rsidRPr="00872EFA" w:rsidRDefault="005B0D80" w:rsidP="00872EFA">
      <w:pPr>
        <w:pStyle w:val="Nincstrkz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EFA">
        <w:rPr>
          <w:rFonts w:ascii="Times New Roman" w:hAnsi="Times New Roman"/>
          <w:sz w:val="24"/>
          <w:szCs w:val="24"/>
        </w:rPr>
        <w:t xml:space="preserve">az ellenőrzési kapacitás, </w:t>
      </w:r>
    </w:p>
    <w:p w:rsidR="005B0D80" w:rsidRPr="00872EFA" w:rsidRDefault="005B0D80" w:rsidP="00872EFA">
      <w:pPr>
        <w:pStyle w:val="Nincstrkz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EFA">
        <w:rPr>
          <w:rFonts w:ascii="Times New Roman" w:hAnsi="Times New Roman"/>
          <w:sz w:val="24"/>
          <w:szCs w:val="24"/>
        </w:rPr>
        <w:t>a szakmai feladatellátást támogató infrastruktúra,</w:t>
      </w:r>
    </w:p>
    <w:p w:rsidR="00654F79" w:rsidRPr="00872EFA" w:rsidRDefault="005B0D80" w:rsidP="00872EFA">
      <w:pPr>
        <w:pStyle w:val="Nincstrkz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EFA">
        <w:rPr>
          <w:rFonts w:ascii="Times New Roman" w:hAnsi="Times New Roman"/>
          <w:sz w:val="24"/>
          <w:szCs w:val="24"/>
        </w:rPr>
        <w:t xml:space="preserve">és hogy </w:t>
      </w:r>
      <w:r w:rsidR="00654F79" w:rsidRPr="00872EFA">
        <w:rPr>
          <w:rFonts w:ascii="Times New Roman" w:hAnsi="Times New Roman"/>
          <w:sz w:val="24"/>
          <w:szCs w:val="24"/>
        </w:rPr>
        <w:t xml:space="preserve">egyértelműek-e </w:t>
      </w:r>
      <w:r w:rsidR="00E97F79" w:rsidRPr="00872EFA">
        <w:rPr>
          <w:rFonts w:ascii="Times New Roman" w:hAnsi="Times New Roman"/>
          <w:sz w:val="24"/>
          <w:szCs w:val="24"/>
        </w:rPr>
        <w:t xml:space="preserve">már </w:t>
      </w:r>
      <w:r w:rsidR="00654F79" w:rsidRPr="00872EFA">
        <w:rPr>
          <w:rFonts w:ascii="Times New Roman" w:hAnsi="Times New Roman"/>
          <w:sz w:val="24"/>
          <w:szCs w:val="24"/>
        </w:rPr>
        <w:t>a különböző szintű</w:t>
      </w:r>
      <w:r w:rsidRPr="00872EFA">
        <w:rPr>
          <w:rFonts w:ascii="Times New Roman" w:hAnsi="Times New Roman"/>
          <w:sz w:val="24"/>
          <w:szCs w:val="24"/>
        </w:rPr>
        <w:t xml:space="preserve"> </w:t>
      </w:r>
      <w:r w:rsidR="00654F79" w:rsidRPr="00872EFA">
        <w:rPr>
          <w:rFonts w:ascii="Times New Roman" w:hAnsi="Times New Roman"/>
          <w:sz w:val="24"/>
          <w:szCs w:val="24"/>
        </w:rPr>
        <w:t>igazgatási szervek hatáskörei a hatóságok és az ügyfelek</w:t>
      </w:r>
      <w:r w:rsidRPr="00872EFA">
        <w:rPr>
          <w:rFonts w:ascii="Times New Roman" w:hAnsi="Times New Roman"/>
          <w:sz w:val="24"/>
          <w:szCs w:val="24"/>
        </w:rPr>
        <w:t xml:space="preserve"> </w:t>
      </w:r>
      <w:r w:rsidR="00654F79" w:rsidRPr="00872EFA">
        <w:rPr>
          <w:rFonts w:ascii="Times New Roman" w:hAnsi="Times New Roman"/>
          <w:sz w:val="24"/>
          <w:szCs w:val="24"/>
        </w:rPr>
        <w:t>számára</w:t>
      </w:r>
      <w:r w:rsidR="00E97F79" w:rsidRPr="00872EFA">
        <w:rPr>
          <w:rFonts w:ascii="Times New Roman" w:hAnsi="Times New Roman"/>
          <w:sz w:val="24"/>
          <w:szCs w:val="24"/>
        </w:rPr>
        <w:t>.</w:t>
      </w:r>
      <w:r w:rsidR="00654F79" w:rsidRPr="00872EFA">
        <w:rPr>
          <w:rFonts w:ascii="Times New Roman" w:hAnsi="Times New Roman"/>
          <w:sz w:val="24"/>
          <w:szCs w:val="24"/>
        </w:rPr>
        <w:t xml:space="preserve"> </w:t>
      </w:r>
    </w:p>
    <w:p w:rsidR="002B0E7E" w:rsidRDefault="002B0E7E" w:rsidP="002B0E7E">
      <w:pPr>
        <w:rPr>
          <w:rFonts w:ascii="Times New Roman" w:hAnsi="Times New Roman"/>
          <w:b/>
          <w:sz w:val="24"/>
          <w:szCs w:val="24"/>
        </w:rPr>
      </w:pPr>
    </w:p>
    <w:p w:rsidR="00872EFA" w:rsidRDefault="00872EFA" w:rsidP="00872E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2EFA" w:rsidRPr="008D02C3" w:rsidRDefault="00E97F79" w:rsidP="00872EFA">
      <w:pPr>
        <w:jc w:val="center"/>
        <w:rPr>
          <w:rFonts w:ascii="Times New Roman" w:hAnsi="Times New Roman"/>
          <w:b/>
          <w:sz w:val="24"/>
          <w:szCs w:val="24"/>
        </w:rPr>
      </w:pPr>
      <w:r w:rsidRPr="008D02C3">
        <w:rPr>
          <w:rFonts w:ascii="Times New Roman" w:hAnsi="Times New Roman"/>
          <w:b/>
          <w:sz w:val="24"/>
          <w:szCs w:val="24"/>
        </w:rPr>
        <w:lastRenderedPageBreak/>
        <w:t>Indokolás</w:t>
      </w:r>
    </w:p>
    <w:p w:rsidR="0062402C" w:rsidRDefault="0062402C" w:rsidP="00E97F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Tanács tisztában van azzal, hogy a javasolt vizsgálat elvégzéséhez elsődlegesen a szervezetet irányító Miniszterelnökség, és az ágazati irányítást végző minisztériumok, mint a Földművelésügyi Minisztérium rendelkeznek megfelelő eszközökkel. </w:t>
      </w:r>
    </w:p>
    <w:p w:rsidR="009F2D68" w:rsidRDefault="00E97F79" w:rsidP="009F2D68">
      <w:pPr>
        <w:jc w:val="both"/>
      </w:pPr>
      <w:r>
        <w:rPr>
          <w:rFonts w:ascii="Times New Roman" w:hAnsi="Times New Roman"/>
          <w:sz w:val="24"/>
          <w:szCs w:val="24"/>
        </w:rPr>
        <w:t xml:space="preserve">Ahogyan azt a Tanács a korábbiakban is megfogalmazta már: a nemzeti stratégiákban és jogszabályokban kitűzött, illetőleg nemzetközi szerződésekben és az Európai Unióban vállalt célok elérése érdekében </w:t>
      </w:r>
      <w:r>
        <w:rPr>
          <w:rFonts w:ascii="Times New Roman" w:hAnsi="Times New Roman"/>
          <w:b/>
          <w:i/>
          <w:sz w:val="24"/>
          <w:szCs w:val="24"/>
        </w:rPr>
        <w:t>meg kell erősíteni az intézményrendszert</w:t>
      </w:r>
      <w:r>
        <w:rPr>
          <w:rFonts w:ascii="Times New Roman" w:hAnsi="Times New Roman"/>
          <w:sz w:val="24"/>
          <w:szCs w:val="24"/>
        </w:rPr>
        <w:t>. Az előző években végrehajtott, szervezetet érintő változtatások is csak akkor nyerhetik el értelmüket, ha az átmenettel járó anomáliákat kiküszöbölik, s mielőbb a korábbiaknál is jobb feltételek közt</w:t>
      </w:r>
      <w:r w:rsidR="009F2D68">
        <w:rPr>
          <w:rFonts w:ascii="Times New Roman" w:hAnsi="Times New Roman"/>
          <w:sz w:val="24"/>
          <w:szCs w:val="24"/>
        </w:rPr>
        <w:t xml:space="preserve"> működhet a környezetvédelem szervezetrendszere.</w:t>
      </w:r>
    </w:p>
    <w:p w:rsidR="00E97F79" w:rsidRDefault="00E97F79" w:rsidP="00872EFA">
      <w:pPr>
        <w:jc w:val="both"/>
      </w:pPr>
      <w:r>
        <w:rPr>
          <w:rFonts w:ascii="Times New Roman" w:hAnsi="Times New Roman"/>
          <w:sz w:val="24"/>
          <w:szCs w:val="24"/>
        </w:rPr>
        <w:t>Az OKT-nak 2015-ben és 2016-ban több állásfoglalása született e tárgyban, ami jelzi, hogy a testület folyamatosan figyelemmel kíséri a hatósági rendszer helyzetének alakulását, és aggodalmát fejezi ki a véleménye szerint vitatható intézkedésekkel kapcsolatban. A Tanács úgy látja, hogy ismét időszerű kezdeményezni, hogy maga a kormányzat is áttekintse a szervezetrendszer állapotát, s értékelje, vajon mennyiben sikerült elérni a kitűzött célokat. A Tanács azt szeretné elérni, ha a kormányzat nem csupán annak tükrében értékelné a kialakult helyzetet, hogy az intézkedések formálisan illeszkednek-e a kormányprogramba, hanem azt is megviz</w:t>
      </w:r>
      <w:r w:rsidR="002B0E7E">
        <w:rPr>
          <w:rFonts w:ascii="Times New Roman" w:hAnsi="Times New Roman"/>
          <w:sz w:val="24"/>
          <w:szCs w:val="24"/>
        </w:rPr>
        <w:t xml:space="preserve">sgálná, hogy a Magyary Zoltán </w:t>
      </w:r>
      <w:r>
        <w:rPr>
          <w:rFonts w:ascii="Times New Roman" w:hAnsi="Times New Roman"/>
          <w:sz w:val="24"/>
          <w:szCs w:val="24"/>
        </w:rPr>
        <w:t xml:space="preserve">Közigazgatás-fejlesztési Programban megfogalmazottaknak megfelelően </w:t>
      </w:r>
      <w:r w:rsidRPr="007B5417">
        <w:rPr>
          <w:rFonts w:ascii="Times New Roman" w:hAnsi="Times New Roman"/>
          <w:sz w:val="24"/>
          <w:szCs w:val="24"/>
        </w:rPr>
        <w:t>(Magyary Program MP 12, 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417">
        <w:rPr>
          <w:rFonts w:ascii="Times New Roman" w:hAnsi="Times New Roman"/>
          <w:sz w:val="24"/>
          <w:szCs w:val="24"/>
        </w:rPr>
        <w:t>o)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2C3">
        <w:rPr>
          <w:rFonts w:ascii="Times New Roman" w:hAnsi="Times New Roman"/>
          <w:sz w:val="24"/>
          <w:szCs w:val="24"/>
        </w:rPr>
        <w:t xml:space="preserve">vajon a változtatások ténylegesen a jó állam </w:t>
      </w:r>
      <w:r w:rsidRPr="008552A9">
        <w:rPr>
          <w:rFonts w:ascii="Times New Roman" w:hAnsi="Times New Roman"/>
          <w:sz w:val="24"/>
          <w:szCs w:val="24"/>
        </w:rPr>
        <w:t>felé vitték-e e</w:t>
      </w:r>
      <w:r w:rsidRPr="00574F20">
        <w:rPr>
          <w:rFonts w:ascii="Times New Roman" w:hAnsi="Times New Roman"/>
          <w:sz w:val="24"/>
          <w:szCs w:val="24"/>
        </w:rPr>
        <w:t>l a kormányzást</w:t>
      </w:r>
      <w:r>
        <w:rPr>
          <w:rFonts w:ascii="Times New Roman" w:hAnsi="Times New Roman"/>
          <w:sz w:val="24"/>
          <w:szCs w:val="24"/>
        </w:rPr>
        <w:t xml:space="preserve"> (ld. különösen a </w:t>
      </w:r>
      <w:r w:rsidRPr="008D02C3">
        <w:rPr>
          <w:rFonts w:ascii="Times New Roman" w:hAnsi="Times New Roman"/>
          <w:sz w:val="24"/>
          <w:szCs w:val="24"/>
        </w:rPr>
        <w:t>jó állam fogalmá</w:t>
      </w:r>
      <w:r>
        <w:rPr>
          <w:rFonts w:ascii="Times New Roman" w:hAnsi="Times New Roman"/>
          <w:sz w:val="24"/>
          <w:szCs w:val="24"/>
        </w:rPr>
        <w:t>t)</w:t>
      </w:r>
      <w:r w:rsidRPr="008552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illetve hogy milyen valós hatásai és kockázatai vannak az intézkedéseknek a hatósági munka (személyzeti, szervezeti, infrastrukturális) feltételeire és minőségére, az egyéb környezetvédelmi igazgatási feladatokra, az ügyfelekkel (érintettekkel) és egyéb partnerekkel (önkormányzatokkal, környezetvédelmi egyesületekkel) való kapcsolatra, a környezetvédelmi ügyekben előírt nyilvánosság és társadalmi részvétel alakulására.</w:t>
      </w:r>
    </w:p>
    <w:p w:rsidR="00E97F79" w:rsidRDefault="00E97F79" w:rsidP="00E97F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jogalkotásról szóló 2010:CXXX. törvény 9. §-a előírja a jogszabályok szükség szerinti, utólagos hatásvizsgálatát (felülvizsgálatát), amelynek során össze kell vetni a szabályozás megalkotása idején várt hatásokat a tényleges hatásokkal. Az Országos Környezetvédelmi Tanács úgy ítéli meg, hogy az utólagos hatásvizsgálatra annál is nagyobb szükség van, hogy előzetes hatásvizsgálatokra nem került sor. A változtatásoknak [a legutóbbi időszakban a környezetvédelmi és természetvédelmi hatósági és igazgatási feladatokat ellátó szervek kijelöléséről szóló 71/2015. (III. 30.) Korm. rendeletnek és a rendelet 2016-ban bekövetkezett, több jelentős módosításának] a környezeti fenntarthatóság intézményi hátterére gyakorolt, jelentős, már rövidtávon is jelentkező hatásai, illetve a gazdasági szektor, a tudományos szféra és a környezetvédelmi társadalmi szervezetek által egybehangzóan megfogalmazott, a hatósági feladatellátást illetően felvetett </w:t>
      </w:r>
      <w:r w:rsidR="00810EF6">
        <w:rPr>
          <w:rFonts w:ascii="Times New Roman" w:hAnsi="Times New Roman"/>
          <w:sz w:val="24"/>
          <w:szCs w:val="24"/>
        </w:rPr>
        <w:t xml:space="preserve"> problémák egyaránt</w:t>
      </w:r>
      <w:r>
        <w:rPr>
          <w:rFonts w:ascii="Times New Roman" w:hAnsi="Times New Roman"/>
          <w:sz w:val="24"/>
          <w:szCs w:val="24"/>
        </w:rPr>
        <w:t xml:space="preserve"> szükségessé </w:t>
      </w:r>
      <w:r>
        <w:rPr>
          <w:rFonts w:ascii="Times New Roman" w:hAnsi="Times New Roman"/>
          <w:sz w:val="24"/>
          <w:szCs w:val="24"/>
        </w:rPr>
        <w:lastRenderedPageBreak/>
        <w:t xml:space="preserve">teszik az utólagos hatásvizsgálatot. A Tanács tudomásul veszi, hogy az átalakítások egy korábbi </w:t>
      </w:r>
      <w:r w:rsidR="00810EF6">
        <w:rPr>
          <w:rFonts w:ascii="Times New Roman" w:hAnsi="Times New Roman"/>
          <w:sz w:val="24"/>
          <w:szCs w:val="24"/>
        </w:rPr>
        <w:t>fázisában  (</w:t>
      </w:r>
      <w:r>
        <w:rPr>
          <w:rFonts w:ascii="Times New Roman" w:hAnsi="Times New Roman"/>
          <w:sz w:val="24"/>
          <w:szCs w:val="24"/>
        </w:rPr>
        <w:t>2015 április) tett, hasonló tárgyú kezdeményezését a Kormány nem tette magáévá, arra nem reflektált. A legutóbbi, a szervezetrendszert érdemben alakító intézkedések meghozatala (a területi hatóságok megyei illetékességét előíró, illetve a hatóságokat a megyeszékhely járási hivatalára telepítő jogszabályok elfogadása) óta eltelt idő azonban – feltételezve, hogy további, érdemi változtatások nincsenek a közeljövő tervei közt – ezt immár lehetővé teszi. Ugyanakkor a Tanács emlékeztet arra, hogy a környezetvédelmi hatósági szervezeti munka keretei nem csak az utóbbi, 2-3 éves időszakban változtak, hanem azt megelőzően is sok intézkedés történt, amelyeket (hatásaikra tekintettel) érdemes együtt kezelni. A vizsgálat céljának a Tanács a hatékonyság javítását tekinti, – az Alaptörvényben biztosított környezethez való jog és az ott előírt állami megőrzési kötelezettség, a Nemzeti Környezetvédelmi Program célkitűzései, Magyarország nemzetközi kötelezettségvállalásai szempontjából – ezért (amennyiben összehasonlítás szükséges) elegendőnek látja a 347/2006. (XII. 23.) sz. kormányrendeletet követő időszakkal való egybevetést.</w:t>
      </w:r>
    </w:p>
    <w:p w:rsidR="00E97F79" w:rsidRDefault="00E97F79" w:rsidP="00E97F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OKT emlékeztet arra, hogy a környezetvédelem közügy. A vonatkozó szervezeti és eljárásjogi előírások egyszerűsítése (dereguláció) közvetlenül az ügyfélnek minősülő környezethasználó/beruházó gazdasági érdekeit/versenyképességét szolgálhatja ugyan, ugyanakkor az érintett polgárok – szintén ügyfelek – környezethez való jogai sérülhetnek, illetve a környezet állapota romolhat. </w:t>
      </w:r>
      <w:r w:rsidRPr="008D02C3">
        <w:rPr>
          <w:rFonts w:ascii="Times New Roman" w:hAnsi="Times New Roman"/>
          <w:b/>
          <w:i/>
          <w:sz w:val="24"/>
          <w:szCs w:val="24"/>
        </w:rPr>
        <w:t xml:space="preserve">A Tanács </w:t>
      </w:r>
      <w:r>
        <w:rPr>
          <w:rFonts w:ascii="Times New Roman" w:hAnsi="Times New Roman"/>
          <w:b/>
          <w:i/>
          <w:sz w:val="24"/>
          <w:szCs w:val="24"/>
        </w:rPr>
        <w:t>határozott álláspontja</w:t>
      </w:r>
      <w:r w:rsidRPr="008D02C3">
        <w:rPr>
          <w:rFonts w:ascii="Times New Roman" w:hAnsi="Times New Roman"/>
          <w:b/>
          <w:i/>
          <w:sz w:val="24"/>
          <w:szCs w:val="24"/>
        </w:rPr>
        <w:t xml:space="preserve"> az, hogy a </w:t>
      </w:r>
      <w:r>
        <w:rPr>
          <w:rFonts w:ascii="Times New Roman" w:hAnsi="Times New Roman"/>
          <w:b/>
          <w:i/>
          <w:sz w:val="24"/>
          <w:szCs w:val="24"/>
        </w:rPr>
        <w:t xml:space="preserve">hatósági </w:t>
      </w:r>
      <w:r w:rsidRPr="008D02C3">
        <w:rPr>
          <w:rFonts w:ascii="Times New Roman" w:hAnsi="Times New Roman"/>
          <w:b/>
          <w:i/>
          <w:sz w:val="24"/>
          <w:szCs w:val="24"/>
        </w:rPr>
        <w:t xml:space="preserve">szervezetrendszer meghatározó rendeltetése a környezethez való jogok, illetve a környezetállapot védelme az integrációt követően is. </w:t>
      </w:r>
      <w:r>
        <w:rPr>
          <w:rFonts w:ascii="Times New Roman" w:hAnsi="Times New Roman"/>
          <w:sz w:val="24"/>
          <w:szCs w:val="24"/>
        </w:rPr>
        <w:t xml:space="preserve">Az ügyfélbarát közigazgatáshoz kiszámíthatóan, kiegyensúlyozottan magas szakmai színvonalon működő hatóságokra van szükség, amelyek e funkció ellátásához a személyzet, az infrastruktúra, az eszközök, a jogszabályi háttér és más feltételek tekintetében sem szenvedhetnek hiányt. </w:t>
      </w:r>
    </w:p>
    <w:p w:rsidR="00E97F79" w:rsidRDefault="00E97F79">
      <w:pPr>
        <w:jc w:val="both"/>
      </w:pPr>
    </w:p>
    <w:p w:rsidR="00341852" w:rsidRDefault="00851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2017. november </w:t>
      </w:r>
      <w:r w:rsidR="00C7510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</w:p>
    <w:p w:rsidR="00834A48" w:rsidRDefault="00834A48">
      <w:pPr>
        <w:jc w:val="both"/>
      </w:pPr>
    </w:p>
    <w:sectPr w:rsidR="00834A48" w:rsidSect="00872EFA">
      <w:headerReference w:type="default" r:id="rId7"/>
      <w:footerReference w:type="default" r:id="rId8"/>
      <w:pgSz w:w="11906" w:h="16838"/>
      <w:pgMar w:top="581" w:right="1417" w:bottom="1417" w:left="1417" w:header="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0A2" w:rsidRDefault="001400A2">
      <w:pPr>
        <w:spacing w:after="0" w:line="240" w:lineRule="auto"/>
      </w:pPr>
      <w:r>
        <w:separator/>
      </w:r>
    </w:p>
  </w:endnote>
  <w:endnote w:type="continuationSeparator" w:id="0">
    <w:p w:rsidR="001400A2" w:rsidRDefault="0014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FA" w:rsidRPr="00872EFA" w:rsidRDefault="00872EFA" w:rsidP="00872EFA">
    <w:pPr>
      <w:pBdr>
        <w:top w:val="dashDotStroked" w:sz="24" w:space="2" w:color="auto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larendon Condensed" w:eastAsia="Times New Roman" w:hAnsi="Clarendon Condensed"/>
        <w:spacing w:val="40"/>
        <w:sz w:val="20"/>
        <w:szCs w:val="20"/>
        <w:lang w:eastAsia="hu-HU"/>
      </w:rPr>
    </w:pPr>
  </w:p>
  <w:p w:rsidR="00872EFA" w:rsidRPr="00872EFA" w:rsidRDefault="00872EFA" w:rsidP="00872EFA">
    <w:pPr>
      <w:pBdr>
        <w:top w:val="dashDotStroked" w:sz="24" w:space="2" w:color="auto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larendon Condensed" w:eastAsia="Times New Roman" w:hAnsi="Clarendon Condensed"/>
        <w:spacing w:val="40"/>
        <w:sz w:val="20"/>
        <w:szCs w:val="20"/>
        <w:lang w:eastAsia="hu-HU"/>
      </w:rPr>
    </w:pPr>
    <w:r w:rsidRPr="00872EFA">
      <w:rPr>
        <w:rFonts w:ascii="Clarendon Condensed" w:eastAsia="Times New Roman" w:hAnsi="Clarendon Condensed"/>
        <w:spacing w:val="40"/>
        <w:sz w:val="20"/>
        <w:szCs w:val="20"/>
        <w:lang w:eastAsia="hu-HU"/>
      </w:rPr>
      <w:t>OKT Titkárság: 1055 Budapest, Kossuth tér 11.</w:t>
    </w:r>
  </w:p>
  <w:p w:rsidR="00872EFA" w:rsidRPr="00872EFA" w:rsidRDefault="00872EFA" w:rsidP="00872EFA">
    <w:pPr>
      <w:pBdr>
        <w:top w:val="dashDotStroked" w:sz="24" w:space="2" w:color="auto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larendon Condensed" w:eastAsia="Times New Roman" w:hAnsi="Clarendon Condensed"/>
        <w:spacing w:val="40"/>
        <w:sz w:val="20"/>
        <w:szCs w:val="20"/>
        <w:lang w:eastAsia="hu-HU"/>
      </w:rPr>
    </w:pPr>
    <w:r w:rsidRPr="00872EFA">
      <w:rPr>
        <w:rFonts w:ascii="Clarendon Condensed" w:eastAsia="Times New Roman" w:hAnsi="Clarendon Condensed"/>
        <w:spacing w:val="40"/>
        <w:sz w:val="20"/>
        <w:szCs w:val="20"/>
        <w:lang w:eastAsia="hu-HU"/>
      </w:rPr>
      <w:t>Postacím: 1860 Bp.</w:t>
    </w:r>
  </w:p>
  <w:p w:rsidR="00872EFA" w:rsidRPr="00872EFA" w:rsidRDefault="00872EFA" w:rsidP="00872EFA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larendon Condensed" w:eastAsia="Times New Roman" w:hAnsi="Clarendon Condensed"/>
        <w:spacing w:val="40"/>
        <w:sz w:val="20"/>
        <w:szCs w:val="20"/>
        <w:lang w:eastAsia="hu-HU"/>
      </w:rPr>
    </w:pPr>
    <w:r w:rsidRPr="00872EFA">
      <w:rPr>
        <w:rFonts w:ascii="Clarendon Condensed" w:eastAsia="Times New Roman" w:hAnsi="Clarendon Condensed"/>
        <w:spacing w:val="40"/>
        <w:sz w:val="20"/>
        <w:szCs w:val="20"/>
        <w:lang w:eastAsia="hu-HU"/>
      </w:rPr>
      <w:t>Telefon: 1- 79 51063, 1- 79 53699. Fax: 1- 79 50429.</w:t>
    </w:r>
  </w:p>
  <w:p w:rsidR="00872EFA" w:rsidRPr="00872EFA" w:rsidRDefault="00872EFA" w:rsidP="00872EFA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larendon Condensed" w:eastAsia="Times New Roman" w:hAnsi="Clarendon Condensed"/>
        <w:spacing w:val="40"/>
        <w:sz w:val="20"/>
        <w:szCs w:val="20"/>
        <w:lang w:eastAsia="hu-HU"/>
      </w:rPr>
    </w:pPr>
    <w:r w:rsidRPr="00872EFA">
      <w:rPr>
        <w:rFonts w:ascii="Clarendon Condensed" w:eastAsia="Times New Roman" w:hAnsi="Clarendon Condensed"/>
        <w:spacing w:val="40"/>
        <w:sz w:val="20"/>
        <w:szCs w:val="20"/>
        <w:lang w:eastAsia="hu-HU"/>
      </w:rPr>
      <w:t xml:space="preserve">E-mail: </w:t>
    </w:r>
    <w:hyperlink r:id="rId1" w:history="1">
      <w:r w:rsidRPr="00872EFA">
        <w:rPr>
          <w:rFonts w:ascii="Clarendon Condensed" w:eastAsia="Times New Roman" w:hAnsi="Clarendon Condensed"/>
          <w:color w:val="0000FF"/>
          <w:spacing w:val="40"/>
          <w:sz w:val="20"/>
          <w:szCs w:val="20"/>
          <w:u w:val="single"/>
          <w:lang w:eastAsia="hu-HU"/>
        </w:rPr>
        <w:t>okttitk@fm.gov.hu</w:t>
      </w:r>
    </w:hyperlink>
  </w:p>
  <w:p w:rsidR="00872EFA" w:rsidRPr="00872EFA" w:rsidRDefault="00872EFA" w:rsidP="00872EFA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larendon Condensed" w:eastAsia="Times New Roman" w:hAnsi="Clarendon Condensed"/>
        <w:color w:val="000000"/>
        <w:spacing w:val="40"/>
        <w:sz w:val="20"/>
        <w:szCs w:val="20"/>
        <w:lang w:eastAsia="hu-HU"/>
      </w:rPr>
    </w:pPr>
    <w:r w:rsidRPr="00872EFA">
      <w:rPr>
        <w:rFonts w:ascii="Clarendon Condensed" w:eastAsia="Times New Roman" w:hAnsi="Clarendon Condensed"/>
        <w:spacing w:val="40"/>
        <w:sz w:val="20"/>
        <w:szCs w:val="20"/>
        <w:lang w:eastAsia="hu-HU"/>
      </w:rPr>
      <w:t>www.oktt.hu</w:t>
    </w:r>
  </w:p>
  <w:p w:rsidR="00872EFA" w:rsidRDefault="00872E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0A2" w:rsidRDefault="001400A2">
      <w:pPr>
        <w:spacing w:after="0" w:line="240" w:lineRule="auto"/>
      </w:pPr>
      <w:r>
        <w:separator/>
      </w:r>
    </w:p>
  </w:footnote>
  <w:footnote w:type="continuationSeparator" w:id="0">
    <w:p w:rsidR="001400A2" w:rsidRDefault="001400A2">
      <w:pPr>
        <w:spacing w:after="0" w:line="240" w:lineRule="auto"/>
      </w:pPr>
      <w:r>
        <w:continuationSeparator/>
      </w:r>
    </w:p>
  </w:footnote>
  <w:footnote w:id="1">
    <w:p w:rsidR="00834A48" w:rsidRPr="00851B16" w:rsidRDefault="00834A48" w:rsidP="00851B16">
      <w:pPr>
        <w:pStyle w:val="Lbjegyzetszveg"/>
        <w:jc w:val="both"/>
        <w:rPr>
          <w:rFonts w:ascii="Times New Roman" w:hAnsi="Times New Roman"/>
        </w:rPr>
      </w:pPr>
      <w:r w:rsidRPr="00851B16">
        <w:rPr>
          <w:rStyle w:val="Lbjegyzet-karakterek"/>
          <w:rFonts w:ascii="Times New Roman" w:hAnsi="Times New Roman"/>
        </w:rPr>
        <w:footnoteRef/>
      </w:r>
      <w:r w:rsidRPr="00851B16">
        <w:rPr>
          <w:rFonts w:ascii="Times New Roman" w:hAnsi="Times New Roman"/>
        </w:rPr>
        <w:t xml:space="preserve"> Itt említjük meg, hogy a hatósági munka minőségét érintő, számos egyéb intézkedés is figyelmet érdemelhet, </w:t>
      </w:r>
      <w:r w:rsidR="00E97F79">
        <w:rPr>
          <w:rFonts w:ascii="Times New Roman" w:hAnsi="Times New Roman"/>
        </w:rPr>
        <w:t>így a</w:t>
      </w:r>
      <w:r w:rsidRPr="00851B16">
        <w:rPr>
          <w:rFonts w:ascii="Times New Roman" w:hAnsi="Times New Roman"/>
        </w:rPr>
        <w:t xml:space="preserve"> közigazgatás jogorvoslati rendszerének – tervezett – változásai is számos kérdést vetnek </w:t>
      </w:r>
      <w:r w:rsidR="009F2D68">
        <w:rPr>
          <w:rFonts w:ascii="Times New Roman" w:hAnsi="Times New Roman"/>
        </w:rPr>
        <w:t>f</w:t>
      </w:r>
      <w:r w:rsidRPr="00851B16">
        <w:rPr>
          <w:rFonts w:ascii="Times New Roman" w:hAnsi="Times New Roman"/>
        </w:rPr>
        <w:t xml:space="preserve">el.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FA" w:rsidRPr="00872EFA" w:rsidRDefault="00872EFA" w:rsidP="00872EFA">
    <w:pPr>
      <w:pBdr>
        <w:bottom w:val="dashDotStroked" w:sz="24" w:space="1" w:color="auto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larendon Condensed" w:eastAsia="Times New Roman" w:hAnsi="Clarendon Condensed"/>
        <w:b/>
        <w:sz w:val="16"/>
        <w:szCs w:val="20"/>
        <w:lang w:eastAsia="hu-HU"/>
      </w:rPr>
    </w:pPr>
    <w:r w:rsidRPr="00872EFA">
      <w:rPr>
        <w:rFonts w:ascii="Times New Roman" w:eastAsia="Times New Roman" w:hAnsi="Times New Roman"/>
        <w:sz w:val="24"/>
        <w:szCs w:val="20"/>
        <w:lang w:eastAsia="hu-HU"/>
      </w:rP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>
          <v:imagedata r:id="rId1" o:title=""/>
        </v:shape>
        <o:OLEObject Type="Embed" ProgID="MSPhotoEd.3" ShapeID="_x0000_i1025" DrawAspect="Content" ObjectID="_1670515870" r:id="rId2"/>
      </w:object>
    </w:r>
  </w:p>
  <w:p w:rsidR="00872EFA" w:rsidRDefault="00872EFA" w:rsidP="00872EFA">
    <w:pPr>
      <w:pStyle w:val="lfej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918"/>
    <w:multiLevelType w:val="hybridMultilevel"/>
    <w:tmpl w:val="6BBCA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54196"/>
    <w:multiLevelType w:val="hybridMultilevel"/>
    <w:tmpl w:val="C2E8F9CC"/>
    <w:lvl w:ilvl="0" w:tplc="C5B40F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10"/>
    <w:rsid w:val="000008C0"/>
    <w:rsid w:val="000419DB"/>
    <w:rsid w:val="001400A2"/>
    <w:rsid w:val="001C270D"/>
    <w:rsid w:val="002077AC"/>
    <w:rsid w:val="00212510"/>
    <w:rsid w:val="002306E2"/>
    <w:rsid w:val="002B0E7E"/>
    <w:rsid w:val="002F606E"/>
    <w:rsid w:val="00341852"/>
    <w:rsid w:val="003521D8"/>
    <w:rsid w:val="00434C47"/>
    <w:rsid w:val="00446720"/>
    <w:rsid w:val="004B23CB"/>
    <w:rsid w:val="004B4F01"/>
    <w:rsid w:val="00574F20"/>
    <w:rsid w:val="005A4023"/>
    <w:rsid w:val="005B0D80"/>
    <w:rsid w:val="0062402C"/>
    <w:rsid w:val="00654F79"/>
    <w:rsid w:val="00753A86"/>
    <w:rsid w:val="00754BB8"/>
    <w:rsid w:val="007B5417"/>
    <w:rsid w:val="007F12A6"/>
    <w:rsid w:val="00810EF6"/>
    <w:rsid w:val="00834A48"/>
    <w:rsid w:val="008471DC"/>
    <w:rsid w:val="00851B16"/>
    <w:rsid w:val="008552A9"/>
    <w:rsid w:val="00872EFA"/>
    <w:rsid w:val="00883F14"/>
    <w:rsid w:val="008F53EB"/>
    <w:rsid w:val="00951774"/>
    <w:rsid w:val="009C63C1"/>
    <w:rsid w:val="009F2D68"/>
    <w:rsid w:val="00A70F13"/>
    <w:rsid w:val="00B263F3"/>
    <w:rsid w:val="00B817F0"/>
    <w:rsid w:val="00B84B9E"/>
    <w:rsid w:val="00C26DFF"/>
    <w:rsid w:val="00C559A9"/>
    <w:rsid w:val="00C75102"/>
    <w:rsid w:val="00C94A5F"/>
    <w:rsid w:val="00CF7BE5"/>
    <w:rsid w:val="00D02C3E"/>
    <w:rsid w:val="00E97F79"/>
    <w:rsid w:val="00EE2482"/>
    <w:rsid w:val="00F1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15C0D2E-D68A-4EEF-8EE0-8CF405D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LbjegyzetszvegChar">
    <w:name w:val="Lábjegyzetszöveg Char"/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bjegyzetszveg">
    <w:name w:val="footnote text"/>
    <w:basedOn w:val="Norml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552A9"/>
    <w:rPr>
      <w:rFonts w:ascii="Tahoma" w:eastAsia="Calibri" w:hAnsi="Tahoma" w:cs="Tahoma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872EF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72EFA"/>
    <w:rPr>
      <w:rFonts w:ascii="Calibri" w:eastAsia="Calibri" w:hAnsi="Calibri"/>
      <w:sz w:val="22"/>
      <w:szCs w:val="22"/>
      <w:lang w:eastAsia="zh-CN"/>
    </w:rPr>
  </w:style>
  <w:style w:type="paragraph" w:styleId="llb">
    <w:name w:val="footer"/>
    <w:basedOn w:val="Norml"/>
    <w:link w:val="llbChar"/>
    <w:uiPriority w:val="99"/>
    <w:unhideWhenUsed/>
    <w:rsid w:val="00872EF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72EFA"/>
    <w:rPr>
      <w:rFonts w:ascii="Calibri" w:eastAsia="Calibri" w:hAnsi="Calibri"/>
      <w:sz w:val="22"/>
      <w:szCs w:val="22"/>
      <w:lang w:eastAsia="zh-CN"/>
    </w:rPr>
  </w:style>
  <w:style w:type="paragraph" w:styleId="Nincstrkz">
    <w:name w:val="No Spacing"/>
    <w:uiPriority w:val="1"/>
    <w:qFormat/>
    <w:rsid w:val="00872EFA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9663</CharactersWithSpaces>
  <SharedDoc>false</SharedDoc>
  <HLinks>
    <vt:vector size="6" baseType="variant">
      <vt:variant>
        <vt:i4>458869</vt:i4>
      </vt:variant>
      <vt:variant>
        <vt:i4>3</vt:i4>
      </vt:variant>
      <vt:variant>
        <vt:i4>0</vt:i4>
      </vt:variant>
      <vt:variant>
        <vt:i4>5</vt:i4>
      </vt:variant>
      <vt:variant>
        <vt:lpwstr>mailto:okttitk@fm.gov.hu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</dc:creator>
  <cp:keywords/>
  <cp:lastModifiedBy>Andras</cp:lastModifiedBy>
  <cp:revision>2</cp:revision>
  <cp:lastPrinted>2017-11-27T13:17:00Z</cp:lastPrinted>
  <dcterms:created xsi:type="dcterms:W3CDTF">2020-12-26T18:25:00Z</dcterms:created>
  <dcterms:modified xsi:type="dcterms:W3CDTF">2020-12-26T18:25:00Z</dcterms:modified>
</cp:coreProperties>
</file>